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C6F" w:rsidRPr="00D04C6F" w:rsidRDefault="00D04C6F" w:rsidP="00D04C6F">
      <w:pPr>
        <w:jc w:val="both"/>
        <w:rPr>
          <w:b/>
          <w:sz w:val="28"/>
          <w:szCs w:val="28"/>
        </w:rPr>
      </w:pPr>
      <w:r w:rsidRPr="00D04C6F">
        <w:rPr>
          <w:b/>
          <w:sz w:val="28"/>
          <w:szCs w:val="28"/>
        </w:rPr>
        <w:t>OBSTOJEČE STANJE</w:t>
      </w:r>
    </w:p>
    <w:p w:rsidR="00D04C6F" w:rsidRDefault="00D04C6F" w:rsidP="00D04C6F">
      <w:pPr>
        <w:jc w:val="both"/>
      </w:pPr>
      <w:r>
        <w:t>Obravnavani del Ulice Jana Husa ima dvosmerni režim prometa ter ima obojestransko izveden hodnik za pešce. Širina vozišča je od cca. 5,00  kar omogoča stanovalcem neurejeno vzdolžno parkiranje. Širina hodnikov za pešce pa se giblje od cca. 1,50 do 4,50 m. Odvodnjavanje vozišča je izvedeno s strešnim sklonom.</w:t>
      </w:r>
    </w:p>
    <w:p w:rsidR="00D04C6F" w:rsidRDefault="00D04C6F" w:rsidP="00D04C6F">
      <w:pPr>
        <w:jc w:val="both"/>
      </w:pPr>
      <w:r>
        <w:t>Neurejeno parkiranje predstavlja oviro za voznike pri vožnji po ulici, pri dostopu na dvorišča stanovanjskih objektov in pri varnem vključevanju s stranskih na glavne oz. prednostne ceste. Dodatno  neurejeno parkiranje predstavlja oviro pešcem na območju prehodov za pešce.</w:t>
      </w:r>
    </w:p>
    <w:p w:rsidR="00D04C6F" w:rsidRPr="0020361B" w:rsidRDefault="00D04C6F" w:rsidP="00D04C6F">
      <w:pPr>
        <w:jc w:val="both"/>
        <w:rPr>
          <w:b/>
          <w:sz w:val="24"/>
          <w:szCs w:val="24"/>
        </w:rPr>
      </w:pPr>
    </w:p>
    <w:p w:rsidR="00D04C6F" w:rsidRDefault="00D04C6F" w:rsidP="00D04C6F">
      <w:pPr>
        <w:jc w:val="both"/>
      </w:pPr>
    </w:p>
    <w:p w:rsidR="00D04C6F" w:rsidRPr="0020361B" w:rsidRDefault="00D04C6F" w:rsidP="00D04C6F">
      <w:pPr>
        <w:rPr>
          <w:b/>
          <w:sz w:val="28"/>
          <w:szCs w:val="28"/>
        </w:rPr>
      </w:pPr>
      <w:r w:rsidRPr="0020361B">
        <w:rPr>
          <w:b/>
          <w:sz w:val="28"/>
          <w:szCs w:val="28"/>
        </w:rPr>
        <w:t>REKONSTRUKCIJA</w:t>
      </w:r>
    </w:p>
    <w:p w:rsidR="00D04C6F" w:rsidRPr="0020361B" w:rsidRDefault="00D04C6F" w:rsidP="00D04C6F">
      <w:pPr>
        <w:rPr>
          <w:b/>
          <w:sz w:val="24"/>
          <w:szCs w:val="24"/>
        </w:rPr>
      </w:pPr>
      <w:proofErr w:type="spellStart"/>
      <w:r w:rsidRPr="0020361B">
        <w:rPr>
          <w:b/>
          <w:sz w:val="24"/>
          <w:szCs w:val="24"/>
        </w:rPr>
        <w:t>Preddela</w:t>
      </w:r>
      <w:proofErr w:type="spellEnd"/>
    </w:p>
    <w:p w:rsidR="00D04C6F" w:rsidRDefault="00D04C6F" w:rsidP="00D04C6F">
      <w:r>
        <w:t>Pred gradnjo je potrebno opraviti naslednja dela:</w:t>
      </w:r>
    </w:p>
    <w:p w:rsidR="00D04C6F" w:rsidRDefault="00D04C6F" w:rsidP="00D04C6F">
      <w:pPr>
        <w:jc w:val="both"/>
      </w:pPr>
      <w:r>
        <w:t>•</w:t>
      </w:r>
      <w:r>
        <w:tab/>
        <w:t xml:space="preserve">Zakoličiti je potrebno </w:t>
      </w:r>
      <w:proofErr w:type="spellStart"/>
      <w:r>
        <w:t>zakoličbene</w:t>
      </w:r>
      <w:proofErr w:type="spellEnd"/>
      <w:r>
        <w:t xml:space="preserve"> točke ter </w:t>
      </w:r>
      <w:proofErr w:type="spellStart"/>
      <w:r>
        <w:t>zakoličbo</w:t>
      </w:r>
      <w:proofErr w:type="spellEnd"/>
      <w:r>
        <w:t xml:space="preserve"> ustrezno zavarovati pred poškodbami;</w:t>
      </w:r>
    </w:p>
    <w:p w:rsidR="00D04C6F" w:rsidRDefault="00D04C6F" w:rsidP="00D04C6F">
      <w:pPr>
        <w:ind w:left="705" w:hanging="705"/>
        <w:jc w:val="both"/>
      </w:pPr>
      <w:r>
        <w:t>•</w:t>
      </w:r>
      <w:r>
        <w:tab/>
        <w:t xml:space="preserve">Pripraviti je potrebno vse podatke in višinska izhodišča na terenu za prenos projektiranih višin betonskih robnikov, revizijskih jaškov, </w:t>
      </w:r>
      <w:proofErr w:type="spellStart"/>
      <w:r>
        <w:t>vtočnih</w:t>
      </w:r>
      <w:proofErr w:type="spellEnd"/>
      <w:r>
        <w:t xml:space="preserve"> jaškov, oznak trase obstoječih komunalnih napeljav…;</w:t>
      </w:r>
    </w:p>
    <w:p w:rsidR="00D04C6F" w:rsidRDefault="00D04C6F" w:rsidP="00D04C6F">
      <w:pPr>
        <w:jc w:val="both"/>
      </w:pPr>
      <w:r>
        <w:t>•</w:t>
      </w:r>
      <w:r>
        <w:tab/>
        <w:t>Odstraniti je potrebno vso obstoječo prometno opremo in signalizacijo</w:t>
      </w:r>
    </w:p>
    <w:p w:rsidR="00D04C6F" w:rsidRDefault="00D04C6F" w:rsidP="00D04C6F">
      <w:pPr>
        <w:ind w:left="705" w:hanging="705"/>
        <w:jc w:val="both"/>
      </w:pPr>
      <w:r>
        <w:t>•</w:t>
      </w:r>
      <w:r>
        <w:tab/>
        <w:t xml:space="preserve">Izvajalec mora pred pričetkom gradnje ustrezno zavarovati gradbišče skladno s predhodno izdelanim elaboratom cestne zapore. Vsaj 30 dni pred pričetkom gradnje je izvajalec del dolžan obvestiti </w:t>
      </w:r>
      <w:proofErr w:type="spellStart"/>
      <w:r>
        <w:t>soglasodajalce</w:t>
      </w:r>
      <w:proofErr w:type="spellEnd"/>
      <w:r>
        <w:t xml:space="preserve"> o namenu pričetka gradnje.   </w:t>
      </w:r>
    </w:p>
    <w:p w:rsidR="00D04C6F" w:rsidRDefault="00D04C6F" w:rsidP="00D04C6F">
      <w:pPr>
        <w:jc w:val="both"/>
      </w:pPr>
      <w:r>
        <w:t>Pri odstranitvi obstoječega dela cestnega telesa do ustrezne globine mora biti prisoten upravljavec komunalnih vodov, da bo podal točno mesto komunalnega voda in predlagal način dela, da ne bo povzročena škoda.</w:t>
      </w:r>
    </w:p>
    <w:p w:rsidR="00D04C6F" w:rsidRDefault="00D04C6F" w:rsidP="00D04C6F">
      <w:pPr>
        <w:jc w:val="both"/>
        <w:rPr>
          <w:b/>
          <w:sz w:val="24"/>
          <w:szCs w:val="24"/>
        </w:rPr>
      </w:pPr>
      <w:r w:rsidRPr="0020361B">
        <w:rPr>
          <w:b/>
          <w:sz w:val="24"/>
          <w:szCs w:val="24"/>
        </w:rPr>
        <w:t>Voziščne konstrukcije</w:t>
      </w:r>
    </w:p>
    <w:p w:rsidR="00D04C6F" w:rsidRDefault="00D04C6F" w:rsidP="00D04C6F">
      <w:pPr>
        <w:jc w:val="both"/>
      </w:pPr>
      <w:r>
        <w:t xml:space="preserve">Predvideno je rezkanje oz. odstranjevanje obstoječega asfalta in vgrajevanje nove voziščne konstrukcije na predmetnih odsekih cest.  </w:t>
      </w:r>
    </w:p>
    <w:p w:rsidR="00D04C6F" w:rsidRDefault="00D04C6F" w:rsidP="00D04C6F">
      <w:pPr>
        <w:jc w:val="both"/>
      </w:pPr>
      <w:r>
        <w:t>Pri rekonstrukciji cest in ureditvi predmetnih priključkov, je za izdelavo voziščne konstrukcije ceste potrebno opraviti naslednja dela:</w:t>
      </w:r>
    </w:p>
    <w:p w:rsidR="00D04C6F" w:rsidRDefault="00D04C6F" w:rsidP="00D04C6F">
      <w:pPr>
        <w:jc w:val="both"/>
      </w:pPr>
      <w:r>
        <w:t>•</w:t>
      </w:r>
      <w:r>
        <w:tab/>
        <w:t>Robne elemente vozišča (betonski ali granitni robniki, pogreznjeni  robniki, klančine, obrobe, bankine) je potrebno vgraditi skladno z navodili in projektiranim stanjem;</w:t>
      </w:r>
    </w:p>
    <w:p w:rsidR="00D04C6F" w:rsidRDefault="00D04C6F" w:rsidP="00D04C6F">
      <w:pPr>
        <w:jc w:val="both"/>
      </w:pPr>
      <w:r>
        <w:t>•</w:t>
      </w:r>
      <w:r>
        <w:tab/>
        <w:t>Planum kamnite posteljice sme odstopati od 4 m  dolge merilne letve, postavljene v poljubni smeri na os ceste, največ 25 mm, velikost zrn v zmesi pa je odvisen od debeline plasti kamnite posteljice.</w:t>
      </w:r>
    </w:p>
    <w:p w:rsidR="00D04C6F" w:rsidRDefault="00D04C6F" w:rsidP="00D04C6F">
      <w:pPr>
        <w:jc w:val="both"/>
      </w:pPr>
      <w:r>
        <w:t>Pri izgradnji cestnega telesa je potrebno upoštevati:</w:t>
      </w:r>
    </w:p>
    <w:p w:rsidR="00D04C6F" w:rsidRDefault="00D04C6F" w:rsidP="00D04C6F">
      <w:pPr>
        <w:jc w:val="both"/>
      </w:pPr>
    </w:p>
    <w:p w:rsidR="00D04C6F" w:rsidRDefault="00D04C6F" w:rsidP="00D04C6F">
      <w:pPr>
        <w:jc w:val="both"/>
      </w:pPr>
      <w:r>
        <w:lastRenderedPageBreak/>
        <w:t>•</w:t>
      </w:r>
      <w:r>
        <w:tab/>
        <w:t>TSC 06.520 - Projektiranje, dimenzioniranje novih asfaltnih voziščnih konstrukcij,</w:t>
      </w:r>
    </w:p>
    <w:p w:rsidR="00D04C6F" w:rsidRDefault="00D04C6F" w:rsidP="00D04C6F">
      <w:pPr>
        <w:jc w:val="both"/>
      </w:pPr>
      <w:r>
        <w:t>•</w:t>
      </w:r>
      <w:r>
        <w:tab/>
        <w:t xml:space="preserve">TSC 06.541 - Projektiranje, dimenzioniranje ojačitev </w:t>
      </w:r>
      <w:proofErr w:type="spellStart"/>
      <w:r>
        <w:t>obst</w:t>
      </w:r>
      <w:proofErr w:type="spellEnd"/>
      <w:r>
        <w:t xml:space="preserve">. </w:t>
      </w:r>
      <w:proofErr w:type="spellStart"/>
      <w:r>
        <w:t>asfalnih</w:t>
      </w:r>
      <w:proofErr w:type="spellEnd"/>
      <w:r>
        <w:t xml:space="preserve"> voziščnih konstrukcij,</w:t>
      </w:r>
    </w:p>
    <w:p w:rsidR="00D04C6F" w:rsidRDefault="00D04C6F" w:rsidP="00D04C6F">
      <w:pPr>
        <w:jc w:val="both"/>
      </w:pPr>
      <w:r>
        <w:t>•</w:t>
      </w:r>
      <w:r>
        <w:tab/>
        <w:t>TSC 08.311/1 - Redno vzdrževanje cest, vzdrževanje prometnih površin asfaltnega vozišča,</w:t>
      </w:r>
    </w:p>
    <w:p w:rsidR="00D04C6F" w:rsidRDefault="00D04C6F" w:rsidP="00D04C6F">
      <w:pPr>
        <w:jc w:val="both"/>
      </w:pPr>
      <w:r>
        <w:t>•</w:t>
      </w:r>
      <w:r>
        <w:tab/>
        <w:t xml:space="preserve">TSC 06.100 - Kamnita posteljica in </w:t>
      </w:r>
      <w:proofErr w:type="spellStart"/>
      <w:r>
        <w:t>povozni</w:t>
      </w:r>
      <w:proofErr w:type="spellEnd"/>
      <w:r>
        <w:t xml:space="preserve"> plato,</w:t>
      </w:r>
    </w:p>
    <w:p w:rsidR="00D04C6F" w:rsidRDefault="00D04C6F" w:rsidP="00D04C6F">
      <w:pPr>
        <w:jc w:val="both"/>
      </w:pPr>
      <w:r>
        <w:t>•</w:t>
      </w:r>
      <w:r>
        <w:tab/>
        <w:t>TSC 06.720 - Meritve in preiskave, deformacijski moduli vgrajenih materialov,</w:t>
      </w:r>
    </w:p>
    <w:p w:rsidR="00D04C6F" w:rsidRDefault="00D04C6F" w:rsidP="00D04C6F">
      <w:pPr>
        <w:jc w:val="both"/>
      </w:pPr>
      <w:r>
        <w:t>•</w:t>
      </w:r>
      <w:r>
        <w:tab/>
        <w:t>TSC 06.610 - Postopek za meritve ravnosti in višine,</w:t>
      </w:r>
    </w:p>
    <w:p w:rsidR="00D04C6F" w:rsidRDefault="00D04C6F" w:rsidP="00D04C6F">
      <w:pPr>
        <w:jc w:val="both"/>
      </w:pPr>
      <w:r>
        <w:t>•</w:t>
      </w:r>
      <w:r>
        <w:tab/>
        <w:t>TSC 06.711 - Delež vlage in gostota zmesi,</w:t>
      </w:r>
    </w:p>
    <w:p w:rsidR="00D04C6F" w:rsidRDefault="00D04C6F" w:rsidP="00D04C6F">
      <w:pPr>
        <w:jc w:val="both"/>
      </w:pPr>
      <w:r>
        <w:t>•</w:t>
      </w:r>
      <w:r>
        <w:tab/>
        <w:t>TSC 08.512 - Varstvo cest, izvajanje prekopov na voznih površinah.</w:t>
      </w:r>
    </w:p>
    <w:p w:rsidR="00D04C6F" w:rsidRDefault="00D04C6F" w:rsidP="00D04C6F">
      <w:pPr>
        <w:jc w:val="both"/>
      </w:pPr>
      <w:r>
        <w:t>Predvidena je vgradnja naslednjih asfaltnih plasti:</w:t>
      </w:r>
    </w:p>
    <w:p w:rsidR="00D04C6F" w:rsidRDefault="00D04C6F" w:rsidP="00D04C6F">
      <w:pPr>
        <w:jc w:val="both"/>
      </w:pPr>
      <w:r>
        <w:t>Na vozišču:</w:t>
      </w:r>
    </w:p>
    <w:p w:rsidR="00D04C6F" w:rsidRDefault="00D04C6F" w:rsidP="00D04C6F">
      <w:pPr>
        <w:jc w:val="both"/>
      </w:pPr>
      <w:r>
        <w:t>-</w:t>
      </w:r>
      <w:r>
        <w:tab/>
        <w:t xml:space="preserve">4 cm - obrabna asfaltna plast ( AC 11 </w:t>
      </w:r>
      <w:proofErr w:type="spellStart"/>
      <w:r>
        <w:t>surf</w:t>
      </w:r>
      <w:proofErr w:type="spellEnd"/>
      <w:r>
        <w:t xml:space="preserve"> B 50/70 A3 )</w:t>
      </w:r>
    </w:p>
    <w:p w:rsidR="00D04C6F" w:rsidRDefault="00D04C6F" w:rsidP="00D04C6F">
      <w:pPr>
        <w:jc w:val="both"/>
      </w:pPr>
      <w:r>
        <w:t>-</w:t>
      </w:r>
      <w:r>
        <w:tab/>
        <w:t>6 cm - nosilna asfaltna plast ( AC 22 base B 50/70 A3 )</w:t>
      </w:r>
    </w:p>
    <w:p w:rsidR="00D04C6F" w:rsidRDefault="00D04C6F" w:rsidP="00D04C6F">
      <w:pPr>
        <w:jc w:val="both"/>
      </w:pPr>
      <w:r>
        <w:t>Na pločniku:</w:t>
      </w:r>
    </w:p>
    <w:p w:rsidR="00D04C6F" w:rsidRDefault="00D04C6F" w:rsidP="00D04C6F">
      <w:pPr>
        <w:jc w:val="both"/>
      </w:pPr>
      <w:r>
        <w:t>-</w:t>
      </w:r>
      <w:r>
        <w:tab/>
        <w:t xml:space="preserve">4 cm – obrabno nosilna asfaltna plast ( AC8 </w:t>
      </w:r>
      <w:proofErr w:type="spellStart"/>
      <w:r>
        <w:t>surf</w:t>
      </w:r>
      <w:proofErr w:type="spellEnd"/>
      <w:r>
        <w:t xml:space="preserve"> B 70/100 A5 )</w:t>
      </w:r>
    </w:p>
    <w:p w:rsidR="00D04C6F" w:rsidRDefault="00D04C6F" w:rsidP="00D04C6F">
      <w:pPr>
        <w:jc w:val="both"/>
      </w:pPr>
      <w:r>
        <w:t>Na vozišču trapezna ploščad:</w:t>
      </w:r>
    </w:p>
    <w:p w:rsidR="00D04C6F" w:rsidRDefault="00D04C6F" w:rsidP="00D04C6F">
      <w:pPr>
        <w:jc w:val="both"/>
      </w:pPr>
      <w:r>
        <w:t>-</w:t>
      </w:r>
      <w:r>
        <w:tab/>
        <w:t xml:space="preserve">4 cm - obrabna asfaltna plast ( AC 11 </w:t>
      </w:r>
      <w:proofErr w:type="spellStart"/>
      <w:r>
        <w:t>surf</w:t>
      </w:r>
      <w:proofErr w:type="spellEnd"/>
      <w:r>
        <w:t xml:space="preserve"> B 50/70 A3 )</w:t>
      </w:r>
    </w:p>
    <w:p w:rsidR="00D04C6F" w:rsidRDefault="00D04C6F" w:rsidP="00D04C6F">
      <w:pPr>
        <w:jc w:val="both"/>
      </w:pPr>
      <w:r>
        <w:t>-</w:t>
      </w:r>
      <w:r>
        <w:tab/>
        <w:t>8 cm - nosilna asfaltna plast ( AC 22 base B 50/70 A3 )</w:t>
      </w:r>
    </w:p>
    <w:p w:rsidR="00D04C6F" w:rsidRPr="00D04C6F" w:rsidRDefault="00D04C6F" w:rsidP="00D04C6F">
      <w:pPr>
        <w:jc w:val="both"/>
        <w:rPr>
          <w:b/>
          <w:sz w:val="24"/>
          <w:szCs w:val="24"/>
        </w:rPr>
      </w:pPr>
      <w:r w:rsidRPr="00D04C6F">
        <w:rPr>
          <w:b/>
          <w:sz w:val="24"/>
          <w:szCs w:val="24"/>
        </w:rPr>
        <w:t>Robni elementi</w:t>
      </w:r>
    </w:p>
    <w:p w:rsidR="00D04C6F" w:rsidRDefault="00D04C6F" w:rsidP="00D04C6F">
      <w:pPr>
        <w:jc w:val="both"/>
      </w:pPr>
      <w:r>
        <w:t>Opis previdene izvedbe</w:t>
      </w:r>
    </w:p>
    <w:p w:rsidR="00D04C6F" w:rsidRDefault="00D04C6F" w:rsidP="00D04C6F">
      <w:pPr>
        <w:jc w:val="both"/>
      </w:pPr>
      <w:r>
        <w:t>Na obravnavanem območju je predviden zaključek vozišča z granitnim robnikom (12/25/100). Vgradi se z zgornjim robom na višini 12 cm nad robom vozišča. Na lokaciji prehoda za pešce, kjer ni predvidenih ukrepov za umirjanje prometa, se robnik vgradi na višini vozišča tako, da ne predstavlja ovire gibalno oviranim osebam. Na lokaciji umirjevalnih ukrepov se le-ta vgradi na višini 12 cm nad voziščem.</w:t>
      </w:r>
    </w:p>
    <w:p w:rsidR="00D04C6F" w:rsidRPr="00D04C6F" w:rsidRDefault="00D04C6F" w:rsidP="00D04C6F">
      <w:pPr>
        <w:jc w:val="both"/>
        <w:rPr>
          <w:b/>
        </w:rPr>
      </w:pPr>
      <w:r w:rsidRPr="00D04C6F">
        <w:rPr>
          <w:b/>
        </w:rPr>
        <w:t>TEMELJNA TLA</w:t>
      </w:r>
    </w:p>
    <w:p w:rsidR="00D04C6F" w:rsidRDefault="00D04C6F" w:rsidP="00D04C6F">
      <w:pPr>
        <w:jc w:val="both"/>
      </w:pPr>
      <w:r>
        <w:t>Nosilnost temeljnih tal (glina mastna) CBR = 5 %</w:t>
      </w:r>
    </w:p>
    <w:p w:rsidR="00D04C6F" w:rsidRDefault="00D04C6F" w:rsidP="00D04C6F">
      <w:pPr>
        <w:jc w:val="both"/>
      </w:pPr>
      <w:r>
        <w:t>V kolikor nosilnost temeljnih tal ne dosega zgoraj zahtevane vrednosti, geomehanik na osnovi izmerjene nosilnosti določi potrebno poglobitev temeljnih tal in s tem povečano debelino kamnite posteljice.</w:t>
      </w:r>
    </w:p>
    <w:p w:rsidR="00D04C6F" w:rsidRPr="00D04C6F" w:rsidRDefault="00D04C6F" w:rsidP="00D04C6F">
      <w:pPr>
        <w:jc w:val="both"/>
        <w:rPr>
          <w:b/>
          <w:sz w:val="24"/>
          <w:szCs w:val="24"/>
        </w:rPr>
      </w:pPr>
      <w:r w:rsidRPr="00D04C6F">
        <w:rPr>
          <w:b/>
          <w:sz w:val="24"/>
          <w:szCs w:val="24"/>
        </w:rPr>
        <w:t>KAMNITA GREDA (POSTELJICA)</w:t>
      </w:r>
    </w:p>
    <w:p w:rsidR="00D04C6F" w:rsidRDefault="00D04C6F" w:rsidP="00D04C6F">
      <w:pPr>
        <w:jc w:val="both"/>
      </w:pPr>
      <w:r>
        <w:t xml:space="preserve">Na planumu posteljice (zmrzlinsko odporen kamniti material) je potrebno zadostiti nosilnosti CBR &gt; 15 %. Zahtevana nosilnost (Ev2 &gt; 80MPa) in zgoščenost &gt; 98% po modificiranem </w:t>
      </w:r>
      <w:proofErr w:type="spellStart"/>
      <w:r>
        <w:t>Proctorjevem</w:t>
      </w:r>
      <w:proofErr w:type="spellEnd"/>
      <w:r>
        <w:t xml:space="preserve"> postopku.  Kakovost kamnitega materiala plasti mora ustrezati zahtevam TSC 06.100</w:t>
      </w:r>
    </w:p>
    <w:p w:rsidR="00D04C6F" w:rsidRDefault="00D04C6F" w:rsidP="00D04C6F">
      <w:pPr>
        <w:jc w:val="both"/>
      </w:pPr>
    </w:p>
    <w:p w:rsidR="00D04C6F" w:rsidRPr="00D04C6F" w:rsidRDefault="00D04C6F" w:rsidP="00D04C6F">
      <w:pPr>
        <w:jc w:val="both"/>
        <w:rPr>
          <w:b/>
          <w:sz w:val="24"/>
          <w:szCs w:val="24"/>
        </w:rPr>
      </w:pPr>
      <w:r w:rsidRPr="00D04C6F">
        <w:rPr>
          <w:b/>
          <w:sz w:val="24"/>
          <w:szCs w:val="24"/>
        </w:rPr>
        <w:lastRenderedPageBreak/>
        <w:t xml:space="preserve">NA PLANUMU NEVEZANE NOSILNE PLASTI (NNP) </w:t>
      </w:r>
    </w:p>
    <w:p w:rsidR="00D04C6F" w:rsidRDefault="00D04C6F" w:rsidP="00D04C6F">
      <w:pPr>
        <w:jc w:val="both"/>
      </w:pPr>
      <w:r>
        <w:t xml:space="preserve">Zahtevana nosilnost Ev2 = 100 </w:t>
      </w:r>
      <w:proofErr w:type="spellStart"/>
      <w:r>
        <w:t>MPa</w:t>
      </w:r>
      <w:proofErr w:type="spellEnd"/>
      <w:r>
        <w:t xml:space="preserve"> in zgoščenost &gt;   98 % po modificiranem </w:t>
      </w:r>
      <w:proofErr w:type="spellStart"/>
      <w:r>
        <w:t>Proctorjevem</w:t>
      </w:r>
      <w:proofErr w:type="spellEnd"/>
      <w:r>
        <w:t xml:space="preserve"> postopku. Kakovost materiala NNP mora ustrezati zahtevam TSC 06.200.</w:t>
      </w:r>
    </w:p>
    <w:p w:rsidR="00E80098" w:rsidRPr="00E80098" w:rsidRDefault="00E80098" w:rsidP="00E80098">
      <w:pPr>
        <w:jc w:val="both"/>
        <w:rPr>
          <w:b/>
          <w:sz w:val="24"/>
          <w:szCs w:val="24"/>
        </w:rPr>
      </w:pPr>
      <w:r w:rsidRPr="00E80098">
        <w:rPr>
          <w:b/>
          <w:sz w:val="24"/>
          <w:szCs w:val="24"/>
        </w:rPr>
        <w:t>ODVODNJAVANJE</w:t>
      </w:r>
    </w:p>
    <w:p w:rsidR="00E80098" w:rsidRDefault="00E80098" w:rsidP="00E80098">
      <w:pPr>
        <w:jc w:val="both"/>
      </w:pPr>
      <w:r>
        <w:t xml:space="preserve">Odvodnjavanje je predvideno ob robniku do vtokov pod robnik oz. v </w:t>
      </w:r>
      <w:proofErr w:type="spellStart"/>
      <w:r>
        <w:t>muldi</w:t>
      </w:r>
      <w:proofErr w:type="spellEnd"/>
      <w:r>
        <w:t xml:space="preserve"> do </w:t>
      </w:r>
      <w:proofErr w:type="spellStart"/>
      <w:r>
        <w:t>vtočnij</w:t>
      </w:r>
      <w:proofErr w:type="spellEnd"/>
      <w:r>
        <w:t xml:space="preserve"> jaškov z LTŽ rešetko. Ob vozišču  je predvidena vgradnja novih jaškov Φ500 z LTŽ rešetko oz. </w:t>
      </w:r>
      <w:proofErr w:type="spellStart"/>
      <w:r>
        <w:t>vtočnih</w:t>
      </w:r>
      <w:proofErr w:type="spellEnd"/>
      <w:r>
        <w:t xml:space="preserve"> jaškov pod robnik Φ500,  ki se jih s PVC cevjo Φ200 preko novih vpadnikov naveže na obstoječ mešani kanal.</w:t>
      </w:r>
    </w:p>
    <w:p w:rsidR="00E80098" w:rsidRDefault="00E80098" w:rsidP="00E80098">
      <w:pPr>
        <w:jc w:val="both"/>
      </w:pPr>
      <w:r>
        <w:t>Tehnologija vgrajevanja cevi:</w:t>
      </w:r>
    </w:p>
    <w:p w:rsidR="00E80098" w:rsidRDefault="00E80098" w:rsidP="00E80098">
      <w:pPr>
        <w:jc w:val="both"/>
      </w:pPr>
      <w:r>
        <w:t xml:space="preserve">Vgradnjo cevi morajo izvesti usposobljeni delavci pod strokovnim nadzorom. </w:t>
      </w:r>
    </w:p>
    <w:p w:rsidR="00E80098" w:rsidRDefault="00E80098" w:rsidP="00E80098">
      <w:pPr>
        <w:jc w:val="both"/>
      </w:pPr>
      <w:r>
        <w:t xml:space="preserve">Pri sami vgradnji cevi je potrebno upoštevati splošne smernice za polaganje cevovodov, ki so položeni v zemljo in so okvirno definirane v standardu SIST EN 1610 in tudi v standardu DIN 4033. </w:t>
      </w:r>
    </w:p>
    <w:p w:rsidR="00E80098" w:rsidRDefault="00E80098" w:rsidP="00E80098">
      <w:pPr>
        <w:jc w:val="both"/>
      </w:pPr>
      <w:r>
        <w:t xml:space="preserve">S pravilno pripravo posteljice (debeline 15 cm) s peskom, ki ne vsebuje kamenja (zrna do največ 20 mm), dobrim in postopnim utrjevanjem zasipa (stopnja zbitosti po </w:t>
      </w:r>
      <w:proofErr w:type="spellStart"/>
      <w:r>
        <w:t>Proctorju</w:t>
      </w:r>
      <w:proofErr w:type="spellEnd"/>
      <w:r>
        <w:t xml:space="preserve"> </w:t>
      </w:r>
      <w:proofErr w:type="spellStart"/>
      <w:r>
        <w:t>Dpr</w:t>
      </w:r>
      <w:proofErr w:type="spellEnd"/>
      <w:r>
        <w:t xml:space="preserve"> &gt;= 95 %) ob cevi ter 30 cm nad temenom cevi, je doseženo, da se cevi, ki so z zemljino prekrite od 0,8 m in pa do 8 m in tudi pod najtežjo prometno obremenitvijo SLW 60 (glede na DIN 1072) ne deformirajo nad dopustno mejo 6 %. V primeru, da je prekritje cevi manjše od 0,8 m, je potrebno poskrbeti za porazdelitev obremenitev (npr. z </w:t>
      </w:r>
      <w:proofErr w:type="spellStart"/>
      <w:r>
        <w:t>obbetoniranjem</w:t>
      </w:r>
      <w:proofErr w:type="spellEnd"/>
      <w:r>
        <w:t>).</w:t>
      </w:r>
    </w:p>
    <w:p w:rsidR="00E80098" w:rsidRDefault="00E80098" w:rsidP="00E80098">
      <w:pPr>
        <w:jc w:val="both"/>
      </w:pPr>
      <w:r>
        <w:t>Opomba:</w:t>
      </w:r>
    </w:p>
    <w:p w:rsidR="00E80098" w:rsidRDefault="00E80098" w:rsidP="00E80098">
      <w:pPr>
        <w:jc w:val="both"/>
      </w:pPr>
      <w:r>
        <w:t xml:space="preserve">LTŽ rešetke </w:t>
      </w:r>
      <w:proofErr w:type="spellStart"/>
      <w:r>
        <w:t>vtočnih</w:t>
      </w:r>
      <w:proofErr w:type="spellEnd"/>
      <w:r>
        <w:t xml:space="preserve"> jaškov (cestni požiralniki), se vgradijo z ravno LTŽ rešetko, kjer pa so </w:t>
      </w:r>
      <w:proofErr w:type="spellStart"/>
      <w:r>
        <w:t>vtočni</w:t>
      </w:r>
      <w:proofErr w:type="spellEnd"/>
      <w:r>
        <w:t xml:space="preserve"> jaški locirani v </w:t>
      </w:r>
      <w:proofErr w:type="spellStart"/>
      <w:r>
        <w:t>muldi</w:t>
      </w:r>
      <w:proofErr w:type="spellEnd"/>
      <w:r>
        <w:t>, pa se vgradijo z ukrivljeno LTŽ rešetko.</w:t>
      </w:r>
    </w:p>
    <w:p w:rsidR="00E80098" w:rsidRDefault="00E80098" w:rsidP="00E80098">
      <w:pPr>
        <w:jc w:val="both"/>
      </w:pPr>
      <w:bookmarkStart w:id="0" w:name="_GoBack"/>
      <w:bookmarkEnd w:id="0"/>
    </w:p>
    <w:p w:rsidR="00E80098" w:rsidRDefault="00E80098" w:rsidP="00E80098">
      <w:pPr>
        <w:jc w:val="both"/>
      </w:pPr>
    </w:p>
    <w:p w:rsidR="00E80098" w:rsidRDefault="00E80098" w:rsidP="00E80098">
      <w:pPr>
        <w:jc w:val="both"/>
      </w:pPr>
      <w:r>
        <w:t xml:space="preserve"> </w:t>
      </w:r>
    </w:p>
    <w:p w:rsidR="00D04C6F" w:rsidRDefault="00D04C6F" w:rsidP="00D04C6F">
      <w:pPr>
        <w:jc w:val="both"/>
      </w:pPr>
    </w:p>
    <w:sectPr w:rsidR="00D04C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61B"/>
    <w:rsid w:val="000B63EA"/>
    <w:rsid w:val="0020361B"/>
    <w:rsid w:val="00D04C6F"/>
    <w:rsid w:val="00E8009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8171"/>
  <w15:chartTrackingRefBased/>
  <w15:docId w15:val="{90327AAB-64F8-415E-9153-01051DBD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04C6F"/>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850</Words>
  <Characters>4847</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Gorazd Rous</dc:creator>
  <cp:keywords/>
  <dc:description/>
  <cp:lastModifiedBy>Gorazd Rous</cp:lastModifiedBy>
  <cp:revision>2</cp:revision>
  <dcterms:created xsi:type="dcterms:W3CDTF">2019-07-03T16:02:00Z</dcterms:created>
  <dcterms:modified xsi:type="dcterms:W3CDTF">2019-07-03T16:02:00Z</dcterms:modified>
</cp:coreProperties>
</file>